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235E1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235E16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35E1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35E1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BD59F1">
                          <w:rPr>
                            <w:rFonts w:ascii="Arial" w:hAnsi="Arial"/>
                            <w:color w:val="auto"/>
                            <w:sz w:val="18"/>
                          </w:rPr>
                          <w:t>64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BD59F1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March 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E27C62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E27C62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</w:t>
                        </w:r>
                        <w:r w:rsidR="0086003E">
                          <w:rPr>
                            <w:sz w:val="18"/>
                          </w:rPr>
                          <w:t>200</w:t>
                        </w:r>
                        <w:r w:rsidR="00D87BC5">
                          <w:rPr>
                            <w:sz w:val="18"/>
                          </w:rPr>
                          <w:t>.</w:t>
                        </w:r>
                        <w:r w:rsidR="0086003E">
                          <w:rPr>
                            <w:sz w:val="18"/>
                          </w:rPr>
                          <w:t>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35E16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BD59F1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E27C62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BD59F1">
                          <w:rPr>
                            <w:rFonts w:ascii="Arial" w:hAnsi="Arial"/>
                            <w:sz w:val="18"/>
                          </w:rPr>
                          <w:t xml:space="preserve">March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27C62">
                          <w:rPr>
                            <w:sz w:val="18"/>
                          </w:rPr>
                          <w:t>1</w:t>
                        </w:r>
                        <w:r w:rsidR="0086003E">
                          <w:rPr>
                            <w:sz w:val="18"/>
                          </w:rPr>
                          <w:t>8</w:t>
                        </w:r>
                        <w:r w:rsidR="00AF5D4E">
                          <w:rPr>
                            <w:sz w:val="18"/>
                          </w:rPr>
                          <w:t>,</w:t>
                        </w:r>
                        <w:r w:rsidR="0086003E">
                          <w:rPr>
                            <w:sz w:val="18"/>
                          </w:rPr>
                          <w:t xml:space="preserve">515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6003E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$5554.50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6003E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$5554.50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BD59F1">
                          <w:rPr>
                            <w:sz w:val="18"/>
                          </w:rPr>
                          <w:t xml:space="preserve">March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6003E">
                          <w:rPr>
                            <w:sz w:val="18"/>
                          </w:rPr>
                          <w:t>2,584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D87BC5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6003E">
                          <w:rPr>
                            <w:sz w:val="18"/>
                          </w:rPr>
                          <w:t>646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86003E"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6003E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$646.00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</w:t>
                        </w:r>
                        <w:r w:rsidR="0086003E">
                          <w:rPr>
                            <w:sz w:val="18"/>
                          </w:rPr>
                          <w:t>200</w:t>
                        </w:r>
                        <w:r w:rsidR="00D87BC5">
                          <w:rPr>
                            <w:sz w:val="18"/>
                          </w:rPr>
                          <w:t>.</w:t>
                        </w:r>
                        <w:r w:rsidR="0086003E">
                          <w:rPr>
                            <w:sz w:val="18"/>
                          </w:rPr>
                          <w:t>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E27C62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</w:t>
                        </w:r>
                        <w:r w:rsidR="0086003E">
                          <w:rPr>
                            <w:sz w:val="18"/>
                          </w:rPr>
                          <w:t>200</w:t>
                        </w:r>
                        <w:r w:rsidR="00D87BC5">
                          <w:rPr>
                            <w:sz w:val="18"/>
                          </w:rPr>
                          <w:t>.</w:t>
                        </w:r>
                        <w:r w:rsidR="0086003E">
                          <w:rPr>
                            <w:sz w:val="18"/>
                          </w:rPr>
                          <w:t>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12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9</cp:revision>
  <cp:lastPrinted>2013-08-01T20:43:00Z</cp:lastPrinted>
  <dcterms:created xsi:type="dcterms:W3CDTF">2013-11-05T20:17:00Z</dcterms:created>
  <dcterms:modified xsi:type="dcterms:W3CDTF">2014-04-01T20:24:00Z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